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1D" w:rsidRDefault="00FA5F6C" w:rsidP="000F5C6A">
      <w:pPr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bookmarkStart w:id="0" w:name="_GoBack"/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-252846</wp:posOffset>
            </wp:positionH>
            <wp:positionV relativeFrom="paragraph">
              <wp:posOffset>151014</wp:posOffset>
            </wp:positionV>
            <wp:extent cx="1270352" cy="748449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52" cy="74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12C0" w:rsidRDefault="000F5C6A" w:rsidP="000F5C6A">
      <w:pPr>
        <w:jc w:val="center"/>
        <w:rPr>
          <w:rFonts w:asciiTheme="majorHAnsi" w:hAnsiTheme="majorHAnsi" w:cstheme="majorHAnsi"/>
          <w:b/>
          <w:smallCaps/>
          <w:color w:val="00B0F0"/>
          <w:sz w:val="36"/>
          <w:szCs w:val="32"/>
        </w:rPr>
      </w:pPr>
      <w:r w:rsidRPr="00186CAE">
        <w:rPr>
          <w:rFonts w:asciiTheme="majorHAnsi" w:hAnsiTheme="majorHAnsi" w:cstheme="majorHAnsi"/>
          <w:b/>
          <w:smallCaps/>
          <w:color w:val="00B0F0"/>
          <w:sz w:val="36"/>
          <w:szCs w:val="32"/>
        </w:rPr>
        <w:t xml:space="preserve">Outil n° </w:t>
      </w:r>
      <w:r w:rsidR="00D849E7" w:rsidRPr="00186CAE">
        <w:rPr>
          <w:rFonts w:asciiTheme="majorHAnsi" w:hAnsiTheme="majorHAnsi" w:cstheme="majorHAnsi"/>
          <w:b/>
          <w:smallCaps/>
          <w:color w:val="00B0F0"/>
          <w:sz w:val="36"/>
          <w:szCs w:val="32"/>
        </w:rPr>
        <w:t>8</w:t>
      </w:r>
      <w:r w:rsidRPr="00186CAE">
        <w:rPr>
          <w:rFonts w:asciiTheme="majorHAnsi" w:hAnsiTheme="majorHAnsi" w:cstheme="majorHAnsi"/>
          <w:b/>
          <w:smallCaps/>
          <w:color w:val="00B0F0"/>
          <w:sz w:val="36"/>
          <w:szCs w:val="32"/>
        </w:rPr>
        <w:t xml:space="preserve"> </w:t>
      </w:r>
    </w:p>
    <w:p w:rsidR="000F5C6A" w:rsidRPr="00186CAE" w:rsidRDefault="00330099" w:rsidP="000F5C6A">
      <w:pPr>
        <w:jc w:val="center"/>
        <w:rPr>
          <w:rFonts w:asciiTheme="majorHAnsi" w:hAnsiTheme="majorHAnsi" w:cstheme="majorHAnsi"/>
          <w:b/>
          <w:smallCaps/>
          <w:color w:val="00B0F0"/>
          <w:sz w:val="36"/>
          <w:szCs w:val="32"/>
        </w:rPr>
      </w:pPr>
      <w:r w:rsidRPr="00186CAE">
        <w:rPr>
          <w:rFonts w:asciiTheme="majorHAnsi" w:hAnsiTheme="majorHAnsi" w:cstheme="majorHAnsi"/>
          <w:b/>
          <w:smallCaps/>
          <w:color w:val="00B0F0"/>
          <w:sz w:val="36"/>
          <w:szCs w:val="32"/>
        </w:rPr>
        <w:t>PV de délibération</w:t>
      </w:r>
    </w:p>
    <w:p w:rsidR="000F5C6A" w:rsidRPr="006A2C36" w:rsidRDefault="000F5C6A" w:rsidP="000F5C6A">
      <w:pPr>
        <w:rPr>
          <w:rFonts w:asciiTheme="majorHAnsi" w:hAnsiTheme="majorHAnsi" w:cstheme="majorHAnsi"/>
          <w:b/>
          <w:sz w:val="32"/>
          <w:szCs w:val="32"/>
        </w:rPr>
      </w:pPr>
    </w:p>
    <w:p w:rsidR="000F5C6A" w:rsidRPr="006A2C36" w:rsidRDefault="000F5C6A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:rsidR="000F5C6A" w:rsidRPr="00AA009D" w:rsidRDefault="000F5C6A" w:rsidP="000F5C6A">
      <w:pPr>
        <w:jc w:val="center"/>
        <w:rPr>
          <w:b/>
          <w:color w:val="538135" w:themeColor="accent6" w:themeShade="BF"/>
          <w:sz w:val="32"/>
        </w:rPr>
      </w:pPr>
      <w:r w:rsidRPr="00AA009D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>CQP NEGOCIATEUR</w:t>
      </w:r>
      <w:r w:rsidR="00FA5F6C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 xml:space="preserve"> </w:t>
      </w:r>
      <w:r w:rsidRPr="00AA009D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>IMMOBILIER</w:t>
      </w:r>
    </w:p>
    <w:p w:rsidR="00424EDA" w:rsidRPr="002A5551" w:rsidRDefault="00424EDA" w:rsidP="007C0D1D">
      <w:pPr>
        <w:jc w:val="center"/>
        <w:rPr>
          <w:b/>
          <w:color w:val="028288"/>
          <w:sz w:val="32"/>
        </w:rPr>
      </w:pPr>
    </w:p>
    <w:p w:rsidR="00DF1877" w:rsidRPr="00DF1877" w:rsidRDefault="00DF1877" w:rsidP="007C0D1D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BE2C61" w:rsidRPr="00DF18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:rsidR="00BE2C61" w:rsidRPr="000C28E9" w:rsidRDefault="000C28E9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 w:rsidR="005F393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du jury</w:t>
            </w:r>
            <w:r w:rsidR="005627F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:rsidR="00BE2C61" w:rsidRPr="000C28E9" w:rsidRDefault="00BE2C6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9177CC" w:rsidRPr="00DF18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177CC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:rsidTr="00992AA3">
        <w:trPr>
          <w:trHeight w:val="313"/>
        </w:trPr>
        <w:tc>
          <w:tcPr>
            <w:tcW w:w="10444" w:type="dxa"/>
          </w:tcPr>
          <w:p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:rsidR="007C0D1D" w:rsidRDefault="007C0D1D" w:rsidP="007C0D1D">
      <w:pPr>
        <w:rPr>
          <w:rFonts w:asciiTheme="minorHAnsi" w:hAnsiTheme="minorHAnsi" w:cstheme="minorHAnsi"/>
          <w:sz w:val="20"/>
          <w:szCs w:val="22"/>
        </w:rPr>
      </w:pPr>
    </w:p>
    <w:p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:rsidTr="000F5C6A">
        <w:trPr>
          <w:trHeight w:val="1258"/>
        </w:trPr>
        <w:tc>
          <w:tcPr>
            <w:tcW w:w="7508" w:type="dxa"/>
            <w:shd w:val="clear" w:color="auto" w:fill="auto"/>
          </w:tcPr>
          <w:p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:rsidTr="000F5C6A">
        <w:trPr>
          <w:trHeight w:val="1326"/>
        </w:trPr>
        <w:tc>
          <w:tcPr>
            <w:tcW w:w="7508" w:type="dxa"/>
            <w:shd w:val="clear" w:color="auto" w:fill="auto"/>
          </w:tcPr>
          <w:p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Formateur A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:rsidTr="000F5C6A">
        <w:trPr>
          <w:trHeight w:val="1465"/>
        </w:trPr>
        <w:tc>
          <w:tcPr>
            <w:tcW w:w="7508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Formateur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:rsidTr="000F5C6A">
        <w:trPr>
          <w:trHeight w:val="1503"/>
        </w:trPr>
        <w:tc>
          <w:tcPr>
            <w:tcW w:w="7508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p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9"/>
          <w:footerReference w:type="default" r:id="rId10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2694"/>
        <w:gridCol w:w="6237"/>
      </w:tblGrid>
      <w:tr w:rsidR="00234DC9" w:rsidRPr="00DF1877" w:rsidTr="002F5B49">
        <w:trPr>
          <w:trHeight w:val="254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 w:rsidR="00EF0D7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 w:rsidR="00EF0D7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6237" w:type="dxa"/>
            <w:vMerge w:val="restart"/>
            <w:shd w:val="clear" w:color="auto" w:fill="D9D9D9"/>
            <w:vAlign w:val="center"/>
          </w:tcPr>
          <w:p w:rsidR="00234DC9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:rsidR="00234DC9" w:rsidRPr="009177CC" w:rsidRDefault="00234DC9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:rsidR="00234DC9" w:rsidRPr="00DF1877" w:rsidRDefault="00234DC9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234DC9" w:rsidRPr="00DF1877" w:rsidTr="00234DC9">
        <w:trPr>
          <w:trHeight w:val="254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234DC9" w:rsidRPr="00A714DE" w:rsidRDefault="00234DC9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34DC9" w:rsidRPr="00A714DE" w:rsidRDefault="00234DC9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34DC9" w:rsidRPr="00DF1877" w:rsidRDefault="00234DC9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2517DD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 w:rsidR="00B32DCD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2517DD" w:rsidRDefault="002517DD" w:rsidP="00A5131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 w:rsidR="003326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0F5C6A"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client en recherche d’un bien</w:t>
            </w:r>
          </w:p>
          <w:p w:rsidR="002517DD" w:rsidRDefault="002517DD" w:rsidP="00A5131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 w:rsidR="003326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0F5C6A"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biens immobiliers, prospecter et prendre des mandats de vente ou de location</w:t>
            </w:r>
          </w:p>
          <w:p w:rsidR="002517DD" w:rsidRPr="00FA639A" w:rsidRDefault="002517DD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 w:rsidR="003326E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="000F5C6A"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propriétaire jusqu'à la signature d'un compromis de vente avec un acquéreur ou jusqu’à la conclusion d’un bail avec un locataire</w:t>
            </w: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3326E5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client en recherche d’un bien</w:t>
            </w:r>
          </w:p>
          <w:p w:rsidR="003326E5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biens immobiliers, prospecter et prendre des mandats de vente ou de location</w:t>
            </w:r>
          </w:p>
          <w:p w:rsidR="002517DD" w:rsidRPr="00FA639A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propriétaire jusqu'à la signature d'un compromis de vente avec un acquéreur ou jusqu’à la conclusion d’un bail avec un locataire</w:t>
            </w:r>
          </w:p>
        </w:tc>
      </w:tr>
      <w:tr w:rsidR="002517DD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17DD" w:rsidRPr="00DF1877" w:rsidRDefault="002517DD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B32DC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2517DD" w:rsidRPr="00B12488" w:rsidRDefault="00B32DCD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3326E5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client en recherche d’un bien</w:t>
            </w:r>
          </w:p>
          <w:p w:rsidR="003326E5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biens immobiliers, prospecter et prendre des mandats de vente ou de location</w:t>
            </w:r>
          </w:p>
          <w:p w:rsidR="002517DD" w:rsidRPr="00FA639A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propriétaire jusqu'à la signature d'un compromis de vente avec un acquéreur ou jusqu’à la conclusion d’un bail avec un locataire</w:t>
            </w:r>
          </w:p>
        </w:tc>
      </w:tr>
      <w:tr w:rsidR="00C41F20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3326E5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client en recherche d’un bien</w:t>
            </w:r>
          </w:p>
          <w:p w:rsidR="003326E5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biens immobiliers, prospecter et prendre des mandats de vente ou de location</w:t>
            </w:r>
          </w:p>
          <w:p w:rsidR="00C41F20" w:rsidRPr="00FA639A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propriétaire jusqu'à la signature d'un compromis de vente avec un acquéreur ou jusqu’à la conclusion d’un bail avec un locataire</w:t>
            </w:r>
          </w:p>
        </w:tc>
      </w:tr>
      <w:tr w:rsidR="00C41F20" w:rsidRPr="00DF1877" w:rsidTr="002F5B49">
        <w:trPr>
          <w:trHeight w:val="227"/>
        </w:trPr>
        <w:tc>
          <w:tcPr>
            <w:tcW w:w="2830" w:type="dxa"/>
            <w:shd w:val="clear" w:color="auto" w:fill="FFFFFF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1F20" w:rsidRPr="00DF1877" w:rsidRDefault="00C41F20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:rsidR="00C41F20" w:rsidRPr="00B12488" w:rsidRDefault="00C41F20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6237" w:type="dxa"/>
            <w:shd w:val="clear" w:color="auto" w:fill="FFFFFF"/>
          </w:tcPr>
          <w:p w:rsidR="003326E5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Accueillir, informer, conseiller le client en recherche d’un bien</w:t>
            </w:r>
          </w:p>
          <w:p w:rsidR="003326E5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biens immobiliers, prospecter et prendre des mandats de vente ou de location</w:t>
            </w:r>
          </w:p>
          <w:p w:rsidR="00C41F20" w:rsidRPr="00FA639A" w:rsidRDefault="003326E5" w:rsidP="003326E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0F5C6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propriétaire jusqu'à la signature d'un compromis de vente avec un acquéreur ou jusqu’à la conclusion d’un bail avec un locataire</w:t>
            </w:r>
          </w:p>
        </w:tc>
      </w:tr>
    </w:tbl>
    <w:p w:rsidR="00345D97" w:rsidRDefault="00345D97" w:rsidP="00BE2C61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COMMENTAIRES</w:t>
      </w:r>
      <w:r w:rsidR="00352A33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/PRECONISATIONS</w:t>
      </w: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DU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JURY </w:t>
      </w: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2"/>
      </w:tblGrid>
      <w:tr w:rsidR="007C0D1D" w:rsidRPr="00DF1877" w:rsidTr="005A6855">
        <w:trPr>
          <w:trHeight w:val="1730"/>
        </w:trPr>
        <w:tc>
          <w:tcPr>
            <w:tcW w:w="15212" w:type="dxa"/>
            <w:shd w:val="clear" w:color="auto" w:fill="auto"/>
          </w:tcPr>
          <w:p w:rsidR="007C0D1D" w:rsidRPr="00DF1877" w:rsidRDefault="007C0D1D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C0D1D" w:rsidRPr="007C0D1D" w:rsidRDefault="007C0D1D" w:rsidP="00C41F20"/>
    <w:sectPr w:rsidR="007C0D1D" w:rsidRPr="007C0D1D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30" w:rsidRDefault="00F82730">
      <w:r>
        <w:separator/>
      </w:r>
    </w:p>
  </w:endnote>
  <w:endnote w:type="continuationSeparator" w:id="0">
    <w:p w:rsidR="00F82730" w:rsidRDefault="00F8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3420"/>
      <w:docPartObj>
        <w:docPartGallery w:val="Page Numbers (Bottom of Page)"/>
        <w:docPartUnique/>
      </w:docPartObj>
    </w:sdtPr>
    <w:sdtEndPr/>
    <w:sdtContent>
      <w:p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6AB4" w:rsidRPr="009F4C7C" w:rsidRDefault="00EC6AB4" w:rsidP="009F4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30" w:rsidRDefault="00F82730">
      <w:r>
        <w:separator/>
      </w:r>
    </w:p>
  </w:footnote>
  <w:footnote w:type="continuationSeparator" w:id="0">
    <w:p w:rsidR="00F82730" w:rsidRDefault="00F8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4DE" w:rsidRDefault="00A714DE" w:rsidP="009F4C7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1CB3"/>
    <w:rsid w:val="00173093"/>
    <w:rsid w:val="00180329"/>
    <w:rsid w:val="00186B97"/>
    <w:rsid w:val="00186CAE"/>
    <w:rsid w:val="00186FF5"/>
    <w:rsid w:val="00191DAD"/>
    <w:rsid w:val="00191FCF"/>
    <w:rsid w:val="0019385B"/>
    <w:rsid w:val="001A31F9"/>
    <w:rsid w:val="001B460C"/>
    <w:rsid w:val="001C5FBB"/>
    <w:rsid w:val="001C616D"/>
    <w:rsid w:val="001D112C"/>
    <w:rsid w:val="001D12C0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58DC"/>
    <w:rsid w:val="00327359"/>
    <w:rsid w:val="00330099"/>
    <w:rsid w:val="003326E5"/>
    <w:rsid w:val="0034363C"/>
    <w:rsid w:val="00345D97"/>
    <w:rsid w:val="00352A33"/>
    <w:rsid w:val="00366184"/>
    <w:rsid w:val="0036768E"/>
    <w:rsid w:val="003708D6"/>
    <w:rsid w:val="00375EFA"/>
    <w:rsid w:val="003762FE"/>
    <w:rsid w:val="00385FA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A7F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27FC"/>
    <w:rsid w:val="00564E8C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769"/>
    <w:rsid w:val="00631447"/>
    <w:rsid w:val="006345F6"/>
    <w:rsid w:val="006359A1"/>
    <w:rsid w:val="0064572B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45AA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886"/>
    <w:rsid w:val="007C70EE"/>
    <w:rsid w:val="007D0419"/>
    <w:rsid w:val="007D22CB"/>
    <w:rsid w:val="007D48D8"/>
    <w:rsid w:val="007D52DB"/>
    <w:rsid w:val="007E3A9B"/>
    <w:rsid w:val="007F0F06"/>
    <w:rsid w:val="007F223B"/>
    <w:rsid w:val="007F622E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913D8"/>
    <w:rsid w:val="008920C7"/>
    <w:rsid w:val="00892311"/>
    <w:rsid w:val="0089763C"/>
    <w:rsid w:val="008A5EB9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6FCC"/>
    <w:rsid w:val="009E1091"/>
    <w:rsid w:val="009E1CD2"/>
    <w:rsid w:val="009E5092"/>
    <w:rsid w:val="009E7477"/>
    <w:rsid w:val="009F3C0E"/>
    <w:rsid w:val="009F4C5A"/>
    <w:rsid w:val="009F4C7C"/>
    <w:rsid w:val="00A014A6"/>
    <w:rsid w:val="00A040A3"/>
    <w:rsid w:val="00A04509"/>
    <w:rsid w:val="00A0524E"/>
    <w:rsid w:val="00A10869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09D"/>
    <w:rsid w:val="00AA4B0B"/>
    <w:rsid w:val="00AA7D33"/>
    <w:rsid w:val="00AB6390"/>
    <w:rsid w:val="00AC26DA"/>
    <w:rsid w:val="00AC291E"/>
    <w:rsid w:val="00AC2DDF"/>
    <w:rsid w:val="00AC37E7"/>
    <w:rsid w:val="00AF50F2"/>
    <w:rsid w:val="00AF50FE"/>
    <w:rsid w:val="00B019E6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6162"/>
    <w:rsid w:val="00C36F1D"/>
    <w:rsid w:val="00C41F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2AA1"/>
    <w:rsid w:val="00CF662C"/>
    <w:rsid w:val="00CF71BB"/>
    <w:rsid w:val="00D00290"/>
    <w:rsid w:val="00D00772"/>
    <w:rsid w:val="00D01B00"/>
    <w:rsid w:val="00D01DB0"/>
    <w:rsid w:val="00D05326"/>
    <w:rsid w:val="00D10883"/>
    <w:rsid w:val="00D17F22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0A3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350EA"/>
    <w:rsid w:val="00F36B9D"/>
    <w:rsid w:val="00F72BD8"/>
    <w:rsid w:val="00F72C29"/>
    <w:rsid w:val="00F82730"/>
    <w:rsid w:val="00F85B3D"/>
    <w:rsid w:val="00F85D4E"/>
    <w:rsid w:val="00F93DAC"/>
    <w:rsid w:val="00F976AD"/>
    <w:rsid w:val="00FA5F6C"/>
    <w:rsid w:val="00FA639A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5C9A"/>
    <w:rsid w:val="00FE0687"/>
    <w:rsid w:val="00FE50A1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4:docId w14:val="11D81624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A53B-C1BA-754D-8A51-80278ED9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Céline V</cp:lastModifiedBy>
  <cp:revision>32</cp:revision>
  <cp:lastPrinted>2017-02-09T09:10:00Z</cp:lastPrinted>
  <dcterms:created xsi:type="dcterms:W3CDTF">2018-07-05T09:11:00Z</dcterms:created>
  <dcterms:modified xsi:type="dcterms:W3CDTF">2019-04-17T14:39:00Z</dcterms:modified>
</cp:coreProperties>
</file>